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44864" from="40.559998pt,690.960022pt" to="148.559998pt,690.9600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44352" from="60.719997pt,286.080017pt" to="566.999997pt,286.08001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43840" from="59.879997pt,247.440002pt" to="566.159997pt,247.44000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43328" from="59.879997pt,212.160004pt" to="566.159997pt,212.160004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447.720001pt;margin-top:36.650002pt;width:127.2pt;height:55.15pt;mso-position-horizontal-relative:page;mso-position-vertical-relative:page;z-index:-15842816" id="docshapegroup1" coordorigin="8954,733" coordsize="2544,1103">
            <v:line style="position:absolute" from="8954,953" to="11486,953" stroked="true" strokeweight=".48pt" strokecolor="#000000">
              <v:stroke dashstyle="solid"/>
            </v:line>
            <v:rect style="position:absolute;left:8959;top:737;width:2534;height:1094" id="docshape2" filled="false" stroked="true" strokeweight=".48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0.740002pt;margin-top:362.940002pt;width:10.77pt;height:10.77pt;mso-position-horizontal-relative:page;mso-position-vertical-relative:page;z-index:-15842304" id="docshape3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.740002pt;margin-top:388.540009pt;width:10.77pt;height:10.77pt;mso-position-horizontal-relative:page;mso-position-vertical-relative:page;z-index:-15841792" id="docshape4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.740002pt;margin-top:414.140015pt;width:10.77pt;height:10.77pt;mso-position-horizontal-relative:page;mso-position-vertical-relative:page;z-index:-15841280" id="docshape5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.740002pt;margin-top:439.73999pt;width:10.77pt;height:10.77pt;mso-position-horizontal-relative:page;mso-position-vertical-relative:page;z-index:-15840768" id="docshape6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.740002pt;margin-top:477.339996pt;width:10.77pt;height:10.77pt;mso-position-horizontal-relative:page;mso-position-vertical-relative:page;z-index:-15840256" id="docshape7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40.740002pt;margin-top:514.940002pt;width:10.77pt;height:10.77pt;mso-position-horizontal-relative:page;mso-position-vertical-relative:page;z-index:-15839744" id="docshape8" filled="false" stroked="true" strokeweight=".48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360001pt;margin-top:33.168869pt;width:204.95pt;height:37.1pt;mso-position-horizontal-relative:page;mso-position-vertical-relative:page;z-index:-15839232" type="#_x0000_t202" id="docshape9" filled="false" stroked="false">
            <v:textbox inset="0,0,0,0">
              <w:txbxContent>
                <w:p>
                  <w:pPr>
                    <w:spacing w:before="11"/>
                    <w:ind w:left="17" w:right="1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UNITED</w:t>
                  </w:r>
                  <w:r>
                    <w:rPr>
                      <w:b/>
                      <w:spacing w:val="-33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STATES</w:t>
                  </w:r>
                </w:p>
                <w:p>
                  <w:pPr>
                    <w:spacing w:before="10"/>
                    <w:ind w:left="17" w:right="1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6"/>
                      <w:sz w:val="20"/>
                    </w:rPr>
                    <w:t>SECURITIES</w:t>
                  </w:r>
                  <w:r>
                    <w:rPr>
                      <w:b/>
                      <w:spacing w:val="-36"/>
                      <w:sz w:val="20"/>
                    </w:rPr>
                    <w:t> </w:t>
                  </w:r>
                  <w:r>
                    <w:rPr>
                      <w:b/>
                      <w:spacing w:val="-6"/>
                      <w:sz w:val="20"/>
                    </w:rPr>
                    <w:t>AND</w:t>
                  </w:r>
                  <w:r>
                    <w:rPr>
                      <w:b/>
                      <w:spacing w:val="-35"/>
                      <w:sz w:val="20"/>
                    </w:rPr>
                    <w:t> </w:t>
                  </w:r>
                  <w:r>
                    <w:rPr>
                      <w:b/>
                      <w:spacing w:val="-6"/>
                      <w:sz w:val="20"/>
                    </w:rPr>
                    <w:t>EXCHANGE</w:t>
                  </w:r>
                  <w:r>
                    <w:rPr>
                      <w:b/>
                      <w:spacing w:val="-35"/>
                      <w:sz w:val="20"/>
                    </w:rPr>
                    <w:t> </w:t>
                  </w:r>
                  <w:r>
                    <w:rPr>
                      <w:b/>
                      <w:spacing w:val="-5"/>
                      <w:sz w:val="20"/>
                    </w:rPr>
                    <w:t>COMMISSION</w:t>
                  </w:r>
                </w:p>
                <w:p>
                  <w:pPr>
                    <w:spacing w:before="10"/>
                    <w:ind w:left="17" w:right="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Washington,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D.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C.</w:t>
                  </w:r>
                  <w:r>
                    <w:rPr>
                      <w:b/>
                      <w:spacing w:val="5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00006pt;margin-top:80.844315pt;width:67.45pt;height:17.55pt;mso-position-horizontal-relative:page;mso-position-vertical-relative:page;z-index:-15838720" type="#_x0000_t202" id="docshape10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FORM</w:t>
                  </w:r>
                  <w:r>
                    <w:rPr>
                      <w:b/>
                      <w:spacing w:val="73"/>
                      <w:sz w:val="28"/>
                    </w:rPr>
                    <w:t> </w:t>
                  </w:r>
                  <w:r>
                    <w:rPr>
                      <w:b/>
                      <w:spacing w:val="10"/>
                      <w:sz w:val="2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189903pt;margin-top:114.666641pt;width:318pt;height:44.1pt;mso-position-horizontal-relative:page;mso-position-vertical-relative:page;z-index:-15838208" type="#_x0000_t202" id="docshape11" filled="false" stroked="false">
            <v:textbox inset="0,0,0,0">
              <w:txbxContent>
                <w:p>
                  <w:pPr>
                    <w:spacing w:line="249" w:lineRule="auto" w:before="10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NOTIFICATION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REMOVAL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FROM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LISTING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AND/OR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REGISTRATION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UNDER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12(b)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</w:p>
                <w:p>
                  <w:pPr>
                    <w:spacing w:before="1"/>
                    <w:ind w:left="31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SECURITIES</w:t>
                  </w:r>
                  <w:r>
                    <w:rPr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EXCHANGE</w:t>
                  </w:r>
                  <w:r>
                    <w:rPr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ACT</w:t>
                  </w:r>
                  <w:r>
                    <w:rPr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1934.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559998pt;margin-top:169.968872pt;width:184.15pt;height:13.1pt;mso-position-horizontal-relative:page;mso-position-vertical-relative:page;z-index:-15837696" type="#_x0000_t202" id="docshape12" filled="false" stroked="false">
            <v:textbox inset="0,0,0,0">
              <w:txbxContent>
                <w:p>
                  <w:pPr>
                    <w:pStyle w:val="BodyText"/>
                    <w:tabs>
                      <w:tab w:pos="3663" w:val="left" w:leader="none"/>
                    </w:tabs>
                  </w:pPr>
                  <w:r>
                    <w:rPr>
                      <w:spacing w:val="-1"/>
                    </w:rPr>
                    <w:t>Commission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22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212.550995pt;width:364.05pt;height:10.9pt;mso-position-horizontal-relative:page;mso-position-vertical-relative:page;z-index:-15837184" type="#_x0000_t202" id="docshape13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(Exact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name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Issuer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specified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charter,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name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Exchange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where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security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listed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and/or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registered)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246.151001pt;width:362.15pt;height:10.9pt;mso-position-horizontal-relative:page;mso-position-vertical-relative:page;z-index:-15836672" type="#_x0000_t202" id="docshape14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(Address,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including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zip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code,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telephone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number,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including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area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code,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Issuer’s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principal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executive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offices)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928802pt;margin-top:289.350983pt;width:111.45pt;height:10.9pt;mso-position-horizontal-relative:page;mso-position-vertical-relative:page;z-index:-15836160" type="#_x0000_t202" id="docshape15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(Description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class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securities)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323.568878pt;width:432.1pt;height:25.1pt;mso-position-horizontal-relative:page;mso-position-vertical-relative:page;z-index:-15835648" type="#_x0000_t202" id="docshape1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/>
                  </w:pPr>
                  <w:r>
                    <w:rPr/>
                    <w:t>Please place an X in the box to designate the rule provision relied upon to strike the class of securities from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listing and registration: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29999pt;margin-top:360.288879pt;width:100.55pt;height:13.1pt;mso-position-horizontal-relative:page;mso-position-vertical-relative:page;z-index:-15835136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17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CFR 240.12d2-2(a)(1)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29999pt;margin-top:385.848877pt;width:100.55pt;height:13.1pt;mso-position-horizontal-relative:page;mso-position-vertical-relative:page;z-index:-15834624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17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CFR 240.12d2-2(a)(2)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263pt;margin-top:411.52887pt;width:101.55pt;height:13.1pt;mso-position-horizontal-relative:page;mso-position-vertical-relative:page;z-index:-15834112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17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CFR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240.12d2-2(a)(3)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6999pt;margin-top:437.088867pt;width:102.55pt;height:13.1pt;mso-position-horizontal-relative:page;mso-position-vertical-relative:page;z-index:-15833600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17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CFR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240.12d2-2(a)(4)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999pt;margin-top:474.648865pt;width:523.9pt;height:26.05pt;mso-position-horizontal-relative:page;mso-position-vertical-relative:page;z-index:-15833088" type="#_x0000_t202" id="docshape21" filled="false" stroked="false">
            <v:textbox inset="0,0,0,0">
              <w:txbxContent>
                <w:p>
                  <w:pPr>
                    <w:pStyle w:val="BodyText"/>
                    <w:spacing w:line="271" w:lineRule="auto" w:before="7"/>
                    <w:ind w:right="11" w:firstLine="475"/>
                    <w:rPr>
                      <w:sz w:val="13"/>
                    </w:rPr>
                  </w:pPr>
                  <w:r>
                    <w:rPr/>
                    <w:t>Pursuant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17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240.12d2-2(b),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complied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rules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strike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listinagnd/or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withdraw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 on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Exchange.</w:t>
                  </w:r>
                  <w:r>
                    <w:rPr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1401pt;margin-top:512.328857pt;width:521.0500pt;height:25.95pt;mso-position-horizontal-relative:page;mso-position-vertical-relative:page;z-index:-15832576" type="#_x0000_t202" id="docshape22" filled="false" stroked="false">
            <v:textbox inset="0,0,0,0">
              <w:txbxContent>
                <w:p>
                  <w:pPr>
                    <w:pStyle w:val="BodyText"/>
                    <w:spacing w:line="268" w:lineRule="auto" w:before="7"/>
                    <w:ind w:right="17" w:firstLine="511"/>
                  </w:pPr>
                  <w:r>
                    <w:rPr/>
                    <w:t>Pursuant to 17 CFR 240.12d2-2(c), the Issuer has complied with the rules of the Exchange and the requirements of 17 CFR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240.12d2-2(c) governing the voluntary withdrawal of the class of securities from listing and registration on the Exchange.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1401pt;margin-top:561.168884pt;width:531.950pt;height:37.1pt;mso-position-horizontal-relative:page;mso-position-vertical-relative:page;z-index:-15832064" type="#_x0000_t202" id="docshape23" filled="false" stroked="false">
            <v:textbox inset="0,0,0,0">
              <w:txbxContent>
                <w:p>
                  <w:pPr>
                    <w:pStyle w:val="BodyText"/>
                    <w:tabs>
                      <w:tab w:pos="7512" w:val="left" w:leader="none"/>
                    </w:tabs>
                    <w:spacing w:line="249" w:lineRule="auto"/>
                    <w:ind w:right="17"/>
                    <w:jc w:val="both"/>
                  </w:pPr>
                  <w:r>
                    <w:rPr/>
                    <w:t>Pursuant to the requirements of the Securities Exchange Act of 1934,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(Name of Issuer or Exchange) certifies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reasonable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grounds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believe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meets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caused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notfiication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be signed on its behalf by the undersigned duly authorized 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1401pt;margin-top:609.168884pt;width:128.25pt;height:25.1pt;mso-position-horizontal-relative:page;mso-position-vertical-relative:page;z-index:-15831552" type="#_x0000_t202" id="docshape2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740" w:hanging="720"/>
                  </w:pPr>
                  <w:r>
                    <w:rPr/>
                    <w:t>________________________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561401pt;margin-top:609.168884pt;width:144.65pt;height:25.1pt;mso-position-horizontal-relative:page;mso-position-vertical-relative:page;z-index:-15831040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By_________________________</w:t>
                  </w:r>
                </w:p>
                <w:p>
                  <w:pPr>
                    <w:pStyle w:val="BodyText"/>
                    <w:spacing w:before="10"/>
                    <w:ind w:left="950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441406pt;margin-top:609.168884pt;width:96.65pt;height:25.1pt;mso-position-horizontal-relative:page;mso-position-vertical-relative:page;z-index:-15830528" type="#_x0000_t202" id="docshape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740" w:hanging="720"/>
                  </w:pPr>
                  <w:r>
                    <w:rPr/>
                    <w:t>__________________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693.551514pt;width:4.9pt;height:8.450pt;mso-position-horizontal-relative:page;mso-position-vertical-relative:page;z-index:-15830016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59998pt;margin-top:694.951111pt;width:422.55pt;height:10.9pt;mso-position-horizontal-relative:page;mso-position-vertical-relative:page;z-index:-15829504" type="#_x0000_t202" id="docshape28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25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attached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Notice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will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considered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compliance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with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provisions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17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CFR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240.19d-1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applicable.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General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384003pt;margin-top:694.951111pt;width:35pt;height:10.9pt;mso-position-horizontal-relative:page;mso-position-vertical-relative:page;z-index:-15828992" type="#_x0000_t202" id="docshape29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structions.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559998pt;margin-top:746.26001pt;width:317.9pt;height:30pt;mso-position-horizontal-relative:page;mso-position-vertical-relative:page;z-index:-15828480" type="#_x0000_t202" id="docshape30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5"/>
                      <w:sz w:val="18"/>
                    </w:rPr>
                    <w:t>Persons  </w:t>
                  </w:r>
                  <w:r>
                    <w:rPr>
                      <w:b/>
                      <w:spacing w:val="12"/>
                      <w:sz w:val="18"/>
                    </w:rPr>
                    <w:t>who  </w:t>
                  </w:r>
                  <w:r>
                    <w:rPr>
                      <w:b/>
                      <w:spacing w:val="15"/>
                      <w:sz w:val="18"/>
                    </w:rPr>
                    <w:t>respond 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46"/>
                      <w:sz w:val="18"/>
                    </w:rPr>
                    <w:t> </w:t>
                  </w:r>
                  <w:r>
                    <w:rPr>
                      <w:b/>
                      <w:spacing w:val="12"/>
                      <w:sz w:val="18"/>
                    </w:rPr>
                    <w:t>the  </w:t>
                  </w:r>
                  <w:r>
                    <w:rPr>
                      <w:b/>
                      <w:spacing w:val="16"/>
                      <w:sz w:val="18"/>
                    </w:rPr>
                    <w:t>collection  </w:t>
                  </w:r>
                  <w:r>
                    <w:rPr>
                      <w:b/>
                      <w:sz w:val="18"/>
                    </w:rPr>
                    <w:t>of   </w:t>
                  </w:r>
                  <w:r>
                    <w:rPr>
                      <w:b/>
                      <w:spacing w:val="16"/>
                      <w:sz w:val="18"/>
                    </w:rPr>
                    <w:t>information  contained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46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this  form  </w:t>
                  </w:r>
                  <w:r>
                    <w:rPr>
                      <w:b/>
                      <w:spacing w:val="9"/>
                      <w:sz w:val="18"/>
                    </w:rPr>
                    <w:t>are  not  </w:t>
                  </w:r>
                  <w:r>
                    <w:rPr>
                      <w:b/>
                      <w:spacing w:val="12"/>
                      <w:sz w:val="18"/>
                    </w:rPr>
                    <w:t>required  </w:t>
                  </w:r>
                  <w:r>
                    <w:rPr>
                      <w:b/>
                      <w:sz w:val="18"/>
                    </w:rPr>
                    <w:t>to   </w:t>
                  </w:r>
                  <w:r>
                    <w:rPr>
                      <w:b/>
                      <w:spacing w:val="12"/>
                      <w:sz w:val="18"/>
                    </w:rPr>
                    <w:t>respond  </w:t>
                  </w:r>
                  <w:r>
                    <w:rPr>
                      <w:b/>
                      <w:spacing w:val="11"/>
                      <w:sz w:val="18"/>
                    </w:rPr>
                    <w:t>unless  </w:t>
                  </w:r>
                  <w:r>
                    <w:rPr>
                      <w:b/>
                      <w:spacing w:val="9"/>
                      <w:sz w:val="18"/>
                    </w:rPr>
                    <w:t>the  </w:t>
                  </w:r>
                  <w:r>
                    <w:rPr>
                      <w:b/>
                      <w:spacing w:val="10"/>
                      <w:sz w:val="18"/>
                    </w:rPr>
                    <w:t>form  </w:t>
                  </w:r>
                  <w:r>
                    <w:rPr>
                      <w:b/>
                      <w:spacing w:val="14"/>
                      <w:sz w:val="18"/>
                    </w:rPr>
                    <w:t>displays</w:t>
                  </w:r>
                  <w:r>
                    <w:rPr>
                      <w:b/>
                      <w:spacing w:val="-4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26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currently</w:t>
                  </w:r>
                  <w:r>
                    <w:rPr>
                      <w:b/>
                      <w:spacing w:val="70"/>
                      <w:sz w:val="18"/>
                    </w:rPr>
                    <w:t> </w:t>
                  </w:r>
                  <w:r>
                    <w:rPr>
                      <w:b/>
                      <w:spacing w:val="11"/>
                      <w:sz w:val="18"/>
                    </w:rPr>
                    <w:t>valid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OMB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pacing w:val="12"/>
                      <w:sz w:val="18"/>
                    </w:rPr>
                    <w:t>control</w:t>
                  </w:r>
                  <w:r>
                    <w:rPr>
                      <w:b/>
                      <w:spacing w:val="14"/>
                      <w:sz w:val="18"/>
                    </w:rPr>
                    <w:t> 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720001pt;margin-top:754.128845pt;width:70.9pt;height:13.1pt;mso-position-horizontal-relative:page;mso-position-vertical-relative:page;z-index:-15827968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6"/>
                    </w:rPr>
                    <w:t>SEC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1654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(03-06)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98999pt;margin-top:36.889999pt;width:126.7pt;height:10.75pt;mso-position-horizontal-relative:page;mso-position-vertical-relative:page;z-index:-15827456" type="#_x0000_t202" id="docshape32" filled="false" stroked="false">
            <v:textbox inset="0,0,0,0">
              <w:txbxContent>
                <w:p>
                  <w:pPr>
                    <w:spacing w:line="204" w:lineRule="exact" w:before="0"/>
                    <w:ind w:left="5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OMB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98999pt;margin-top:47.639999pt;width:126.7pt;height:43.95pt;mso-position-horizontal-relative:page;mso-position-vertical-relative:page;z-index:-15826944" type="#_x0000_t202" id="docshape33" filled="false" stroked="false">
            <v:textbox inset="0,0,0,0">
              <w:txbxContent>
                <w:p>
                  <w:pPr>
                    <w:tabs>
                      <w:tab w:pos="2462" w:val="right" w:leader="none"/>
                    </w:tabs>
                    <w:spacing w:before="4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OMB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Number:</w:t>
                    <w:tab/>
                    <w:t>3235-0080</w:t>
                  </w:r>
                </w:p>
                <w:p>
                  <w:pPr>
                    <w:tabs>
                      <w:tab w:pos="1157" w:val="left" w:leader="none"/>
                      <w:tab w:pos="2179" w:val="left" w:leader="none"/>
                    </w:tabs>
                    <w:spacing w:line="249" w:lineRule="auto" w:before="9"/>
                    <w:ind w:left="64" w:right="36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Expires:</w:t>
                    <w:tab/>
                    <w:t>May 31, 2024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Estimated   average   burden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hours per response</w:t>
                    <w:tab/>
                  </w:r>
                  <w:r>
                    <w:rPr>
                      <w:spacing w:val="-1"/>
                      <w:sz w:val="18"/>
                    </w:rPr>
                    <w:t>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168.880005pt;width:76.45pt;height:12pt;mso-position-horizontal-relative:page;mso-position-vertical-relative:page;z-index:-15826432" type="#_x0000_t202" id="docshape3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879997pt;margin-top:201.160004pt;width:506.3pt;height:12pt;mso-position-horizontal-relative:page;mso-position-vertical-relative:page;z-index:-15825920" type="#_x0000_t202" id="docshape3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879997pt;margin-top:236.440002pt;width:506.3pt;height:12pt;mso-position-horizontal-relative:page;mso-position-vertical-relative:page;z-index:-15825408" type="#_x0000_t202" id="docshape3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19997pt;margin-top:275.080017pt;width:506.3pt;height:12pt;mso-position-horizontal-relative:page;mso-position-vertical-relative:page;z-index:-15824896" type="#_x0000_t202" id="docshape3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24237pt;margin-top:560.080017pt;width:95.1pt;height:12pt;mso-position-horizontal-relative:page;mso-position-vertical-relative:page;z-index:-15824384" type="#_x0000_t202" id="docshape3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559998pt;margin-top:679.960022pt;width:108pt;height:12pt;mso-position-horizontal-relative:page;mso-position-vertical-relative:page;z-index:-15823872" type="#_x0000_t202" id="docshape3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0" w:left="54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51pt;margin-top:35.586639pt;width:152.6pt;height:15.3pt;mso-position-horizontal-relative:page;mso-position-vertical-relative:page;z-index:-15823360" type="#_x0000_t202" id="docshape4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GENERAL</w:t>
                  </w:r>
                  <w:r>
                    <w:rPr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INSTRUCTIONS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.088867pt;width:536.8pt;height:25.1pt;mso-position-horizontal-relative:page;mso-position-vertical-relative:page;z-index:-15822848" type="#_x0000_t202" id="docshape4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8"/>
                  </w:pPr>
                  <w:r>
                    <w:rPr/>
                    <w:t>1. This form is required by Rule 12d2-2 (17 CFR 240.12d2-2) of the General Rules and Regulations under the Securities Exch</w:t>
                  </w:r>
                  <w:r>
                    <w:rPr>
                      <w:spacing w:val="-15"/>
                    </w:rPr>
                    <w:t>a</w:t>
                  </w:r>
                  <w:r>
                    <w:rPr>
                      <w:spacing w:val="-131"/>
                    </w:rPr>
                    <w:t>A</w:t>
                  </w:r>
                  <w:r>
                    <w:rPr/>
                    <w:t>n</w:t>
                  </w:r>
                  <w:r>
                    <w:rPr>
                      <w:spacing w:val="-70"/>
                    </w:rPr>
                    <w:t>g</w:t>
                  </w:r>
                  <w:r>
                    <w:rPr>
                      <w:spacing w:val="-19"/>
                    </w:rPr>
                    <w:t>c</w:t>
                  </w:r>
                  <w:r>
                    <w:rPr>
                      <w:spacing w:val="-70"/>
                    </w:rPr>
                    <w:t>e</w:t>
                  </w:r>
                  <w:r>
                    <w:rPr/>
                    <w:t>t of </w:t>
                  </w:r>
                  <w:r>
                    <w:rPr/>
                    <w:t>1934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(“Exchange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0.088867pt;width:531.4pt;height:25.1pt;mso-position-horizontal-relative:page;mso-position-vertical-relative:page;z-index:-15822336" type="#_x0000_t202" id="docshape4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/>
                  </w:pPr>
                  <w:r>
                    <w:rPr/>
                    <w:t>2. Exchanges: Attach the delisting determination to this Form 25 to serve as the required Notice pursuant to Exchange Act Ru</w:t>
                  </w:r>
                  <w:r>
                    <w:rPr>
                      <w:spacing w:val="-17"/>
                    </w:rPr>
                    <w:t>l</w:t>
                  </w:r>
                  <w:r>
                    <w:rPr>
                      <w:spacing w:val="-84"/>
                    </w:rPr>
                    <w:t>1</w:t>
                  </w:r>
                  <w:r>
                    <w:rPr>
                      <w:spacing w:val="-6"/>
                    </w:rPr>
                    <w:t>e</w:t>
                  </w:r>
                  <w:r>
                    <w:rPr/>
                    <w:t>9d-1 (17 CFR 240.19d-1). Form 25 and the attached Notice will be considered compliance with the provisions of Rule 19d-1 as appl</w:t>
                  </w:r>
                  <w:r>
                    <w:rPr>
                      <w:spacing w:val="-54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87"/>
                    </w:rPr>
                    <w:t>c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87"/>
                    </w:rPr>
                    <w:t>a</w:t>
                  </w:r>
                  <w:r>
                    <w:rPr/>
                    <w:t>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6.088867pt;width:363.85pt;height:13.1pt;mso-position-horizontal-relative:page;mso-position-vertical-relative:page;z-index:-15821824" type="#_x0000_t202" id="docshape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Form 25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 attachments must be filed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electronically on the EDGAR database.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088867pt;width:536.050pt;height:37.1pt;mso-position-horizontal-relative:page;mso-position-vertical-relative:page;z-index:-15821312" type="#_x0000_t202" id="docshape4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/>
                  </w:pPr>
                  <w:r>
                    <w:rPr/>
                    <w:t>4.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removal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listing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effective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25.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Whitrespect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filing of any amendment to Form 25, the removal of the class of securities from listing on the exchange shall be effectiv1e0 days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amended 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8.088867pt;width:537.85pt;height:61.1pt;mso-position-horizontal-relative:page;mso-position-vertical-relative:page;z-index:-15820800" type="#_x0000_t202" id="docshape4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/>
                    <w:t>5.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withdrawal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12(b)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effecitn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days,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or such shorter period as the Commission may determine, after the exchange or issuer files a Form 25 with the Commission. 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respect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amendment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25,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withdrawal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Seticon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12(b)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shall take effect in 90 days, or such shorter period as the Commission may determine, after the exchange or issuer files the a</w:t>
                  </w:r>
                  <w:r>
                    <w:rPr>
                      <w:spacing w:val="-150"/>
                    </w:rPr>
                    <w:t>m</w:t>
                  </w:r>
                  <w:r>
                    <w:rPr/>
                    <w:t>ended Form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0.088867pt;width:522.4pt;height:25.1pt;mso-position-horizontal-relative:page;mso-position-vertical-relative:page;z-index:-15820288" type="#_x0000_t202" id="docshape4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/>
                  </w:pPr>
                  <w:r>
                    <w:rPr/>
                    <w:t>6.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purposes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longer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considered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exchange upon the effective date of delisting even though the withdrawal of registration is effective at a later 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6.088867pt;width:537.450pt;height:73.1pt;mso-position-horizontal-relative:page;mso-position-vertical-relative:page;z-index:-15819776" type="#_x0000_t202" id="docshape4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0"/>
                  </w:pPr>
                  <w:r>
                    <w:rPr/>
                    <w:t>7. The issuer’s duty to file any reports under Section 13(a)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Exchange Act and the rules and regulations thereunder as aresult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security’s registration under Section 12(b) of the Exchange Act shall be suspended upon the effective date of the delisting. If,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effective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delisting,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withdrawal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12(b)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delayed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Commission,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aenxchange,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or an issuer, the issuer shall, within 60 days of such delay, file any reports that would have been required under Section 13(a) and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rules and regulations thereunder, had the Form 25 not been filed. The issuer will also file any subsequent reports required under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Section 13(a) for the duration of the delay.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0.088867pt;width:523.25pt;height:49.1pt;mso-position-horizontal-relative:page;mso-position-vertical-relative:page;z-index:-15819264" type="#_x0000_t202" id="docshape4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249" w:lineRule="auto" w:before="11" w:after="0"/>
                    <w:ind w:left="20" w:right="17" w:firstLine="0"/>
                    <w:jc w:val="left"/>
                  </w:pP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responsibilities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suspended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Rule 12d2-2(d)(5) is, nevertheless, required to file any reports that an issuer with such a class of securities registered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under Section 12 of the Exchange Act would be required to file under Section 13(a) if such class of securities: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13" w:val="left" w:leader="none"/>
                    </w:tabs>
                    <w:spacing w:line="240" w:lineRule="auto" w:before="10" w:after="0"/>
                    <w:ind w:left="1012" w:right="0" w:hanging="273"/>
                    <w:jc w:val="left"/>
                  </w:pPr>
                  <w:r>
                    <w:rPr/>
                    <w:t>is registered under Section 12(g) of the Exchange Act;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0.088867pt;width:506.05pt;height:25.1pt;mso-position-horizontal-relative:page;mso-position-vertical-relative:page;z-index:-15818752" type="#_x0000_t202" id="docshape4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/>
                  </w:pPr>
                  <w:r>
                    <w:rPr/>
                    <w:t>(b) would be registered, or would be required to be registered, under Section 12(g) of the Exchange Act but for the exemption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from registration under Section 12(g) provided by Section 12(g)(2)(A) of the Exchange 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6.088867pt;width:532.3pt;height:73.1pt;mso-position-horizontal-relative:page;mso-position-vertical-relative:page;z-index:-15818240" type="#_x0000_t202" id="docshape5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/>
                  </w:pPr>
                  <w:r>
                    <w:rPr/>
                    <w:t>9. An issuer whose reporting responsibilities under Section 13(a) of the Exchange Act are suspended under Rule 12d2-2(d)(5) is,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nevertheless, required to file any reports that would be required under Section 15(d) of the Exchange Act but for the fact thatthe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reporting obligations are: (a) suspended for a class of securities under Rule 12d2-2(d)(5); and (b) suspended, terminated, or </w:t>
                  </w:r>
                  <w:r>
                    <w:rPr>
                      <w:spacing w:val="-96"/>
                    </w:rPr>
                    <w:t>o</w:t>
                  </w:r>
                  <w:r>
                    <w:rPr/>
                    <w:t>therwise absent under Section 12(g) of the Exchange Act. The reporting responsibilities of an issuer under Section 15(d) of the ExchangeAct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continue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until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issuer’s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reportingersponsibili-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ties under Section 15(d) are otherwise suspended.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0.088867pt;width:529.550pt;height:25.1pt;mso-position-horizontal-relative:page;mso-position-vertical-relative:page;z-index:-15817728" type="#_x0000_t202" id="docshape5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/>
                    <w:t>10. Issuers should determine if they have additional registration and reporting requirements under Section 12(g) of the Excha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86"/>
                    </w:rPr>
                    <w:t>e</w:t>
                  </w:r>
                  <w:r>
                    <w:rPr/>
                    <w:t>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Act </w:t>
                  </w:r>
                  <w:r>
                    <w:rPr/>
                    <w:t>and reporting obligations pursuant to Section 15(d) of the Exchange Act upon the filing of Form 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088867pt;width:540.050pt;height:49.1pt;mso-position-horizontal-relative:page;mso-position-vertical-relative:page;z-index:-15817216" type="#_x0000_t202" id="docshape5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/>
                  </w:pPr>
                  <w:r>
                    <w:rPr/>
                    <w:t>11. In any case where the Commission has commenced a proceeding under Section 12 of the Exchange Act prior to the withdrawal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registration of a class of securities becoming effective, such security will remain registered under Section 12(b) of 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81"/>
                    </w:rPr>
                    <w:t>x</w:t>
                  </w:r>
                  <w:r>
                    <w:rPr>
                      <w:spacing w:val="-42"/>
                    </w:rPr>
                    <w:t>E</w:t>
                  </w:r>
                  <w:r>
                    <w:rPr/>
                    <w:t>change Act until the final decision of such proceeding, or until the Commission otherwise determines to suspend the effective date of, orrevoke,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registration of a class of 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6.088867pt;width:541.950pt;height:49.1pt;mso-position-horizontal-relative:page;mso-position-vertical-relative:page;z-index:-15816704" type="#_x0000_t202" id="docshape5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/>
                  </w:pPr>
                  <w:r>
                    <w:rPr/>
                    <w:t>12.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removal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effected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12d2-2(a)(3)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admitted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intendtso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admit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successor security to trading under the temporary exemption provided for by Exchange Act Rule 12a-5 (17 CFR 240.12a-5) th</w:t>
                  </w:r>
                  <w:r>
                    <w:rPr>
                      <w:spacing w:val="-26"/>
                    </w:rPr>
                    <w:t>e</w:t>
                  </w:r>
                  <w:r>
                    <w:rPr/>
                    <w:t>r</w:t>
                  </w:r>
                  <w:r>
                    <w:rPr>
                      <w:spacing w:val="-147"/>
                    </w:rPr>
                    <w:t>m</w:t>
                  </w:r>
                  <w:r>
                    <w:rPr/>
                    <w:t>F</w:t>
                  </w:r>
                  <w:r>
                    <w:rPr>
                      <w:spacing w:val="-15"/>
                    </w:rPr>
                    <w:t>o</w:t>
                  </w:r>
                  <w:r>
                    <w:rPr/>
                    <w:t>25 shall be filed with the Commission in a manner that ensures that the delisting does not become effective until the successor security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removed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its exempt status.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20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12" w:hanging="2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2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8" w:hanging="2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2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7" w:hanging="2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7" w:hanging="2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2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2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 1654; Date.modified: 2012-07-23</cp:keywords>
  <dc:subject>Notification of the removal from listing and registration of matured, redeemed or retired securities</dc:subject>
  <dc:title>Form 25</dc:title>
  <dcterms:created xsi:type="dcterms:W3CDTF">2022-01-26T21:42:03Z</dcterms:created>
  <dcterms:modified xsi:type="dcterms:W3CDTF">2022-01-26T21:42:03Z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2022-01-26T00:00:00Z</vt:filetime>
  </property>
</Properties>
</file>